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1FFB1C" w14:textId="77777777" w:rsidR="00F65457" w:rsidRDefault="00F65457" w:rsidP="00F65457">
      <w:pPr>
        <w:pStyle w:val="NormalWeb"/>
        <w:spacing w:before="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</w:rPr>
        <w:t>ANEXO II</w:t>
      </w:r>
    </w:p>
    <w:p w14:paraId="3DF12FB2" w14:textId="77777777" w:rsidR="00F65457" w:rsidRDefault="00F65457" w:rsidP="00F65457">
      <w:pPr>
        <w:pStyle w:val="NormalWeb"/>
        <w:spacing w:before="240" w:beforeAutospacing="0" w:after="240" w:afterAutospacing="0"/>
        <w:jc w:val="center"/>
      </w:pPr>
      <w:r>
        <w:rPr>
          <w:rFonts w:ascii="Arial" w:hAnsi="Arial" w:cs="Arial"/>
          <w:b/>
          <w:bCs/>
          <w:color w:val="000000"/>
          <w:sz w:val="26"/>
          <w:szCs w:val="26"/>
          <w:u w:val="single"/>
        </w:rPr>
        <w:t>CRITÉRIOS UTILIZADOS NA AVALIAÇÃO DE MÉRITO CULTURAL</w:t>
      </w:r>
    </w:p>
    <w:p w14:paraId="447A6805" w14:textId="26798599" w:rsidR="0073580F" w:rsidRDefault="0073580F" w:rsidP="0073580F">
      <w:pPr>
        <w:pStyle w:val="NormalWeb"/>
        <w:spacing w:before="120" w:beforeAutospacing="0" w:after="120" w:afterAutospacing="0" w:line="360" w:lineRule="auto"/>
        <w:ind w:right="120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EDITAL Nº 0</w:t>
      </w:r>
      <w:r w:rsidR="00581976">
        <w:rPr>
          <w:rFonts w:ascii="Arial" w:hAnsi="Arial" w:cs="Arial"/>
          <w:b/>
          <w:bCs/>
          <w:color w:val="000000"/>
        </w:rPr>
        <w:t>4</w:t>
      </w:r>
      <w:r w:rsidRPr="00670390">
        <w:rPr>
          <w:rFonts w:ascii="Arial" w:hAnsi="Arial" w:cs="Arial"/>
          <w:b/>
          <w:bCs/>
          <w:color w:val="000000"/>
        </w:rPr>
        <w:t>/2023</w:t>
      </w:r>
    </w:p>
    <w:p w14:paraId="26F56674" w14:textId="77777777" w:rsidR="0073580F" w:rsidRPr="00670390" w:rsidRDefault="0073580F" w:rsidP="0073580F">
      <w:pPr>
        <w:pStyle w:val="NormalWeb"/>
        <w:spacing w:before="120" w:beforeAutospacing="0" w:after="120" w:afterAutospacing="0" w:line="360" w:lineRule="auto"/>
        <w:ind w:right="120"/>
        <w:jc w:val="center"/>
      </w:pPr>
      <w:r w:rsidRPr="00670390">
        <w:rPr>
          <w:rFonts w:ascii="Arial" w:hAnsi="Arial" w:cs="Arial"/>
          <w:b/>
          <w:bCs/>
          <w:color w:val="000000"/>
        </w:rPr>
        <w:t xml:space="preserve"> “</w:t>
      </w:r>
      <w:r>
        <w:rPr>
          <w:rFonts w:ascii="Arial" w:hAnsi="Arial" w:cs="Arial"/>
          <w:b/>
          <w:bCs/>
          <w:color w:val="000000"/>
        </w:rPr>
        <w:t>FESTIVAL DE AUDIOVISUAL</w:t>
      </w:r>
      <w:r w:rsidRPr="00670390">
        <w:rPr>
          <w:rFonts w:ascii="Arial" w:hAnsi="Arial" w:cs="Arial"/>
          <w:b/>
          <w:bCs/>
          <w:color w:val="000000"/>
        </w:rPr>
        <w:t>”</w:t>
      </w:r>
    </w:p>
    <w:p w14:paraId="2F68336D" w14:textId="77777777" w:rsidR="0073580F" w:rsidRDefault="0073580F" w:rsidP="0073580F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EDITAL DE SELEÇÃO DE PROJETOS PARA FIRMAR </w:t>
      </w:r>
    </w:p>
    <w:p w14:paraId="4B89BAC8" w14:textId="77777777" w:rsidR="0073580F" w:rsidRDefault="0073580F" w:rsidP="0073580F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 xml:space="preserve">TERMO DE EXECUÇÃO CULTURAL COM RECURSOS DA </w:t>
      </w:r>
    </w:p>
    <w:p w14:paraId="7DCF70DB" w14:textId="77777777" w:rsidR="0073580F" w:rsidRDefault="0073580F" w:rsidP="0073580F">
      <w:pPr>
        <w:pStyle w:val="NormalWeb"/>
        <w:spacing w:before="0" w:beforeAutospacing="0" w:after="0" w:afterAutospacing="0"/>
        <w:ind w:right="119"/>
        <w:jc w:val="center"/>
        <w:rPr>
          <w:rFonts w:ascii="Arial" w:hAnsi="Arial" w:cs="Arial"/>
          <w:b/>
          <w:bCs/>
          <w:color w:val="000000"/>
        </w:rPr>
      </w:pPr>
      <w:r w:rsidRPr="00670390">
        <w:rPr>
          <w:rFonts w:ascii="Arial" w:hAnsi="Arial" w:cs="Arial"/>
          <w:b/>
          <w:bCs/>
          <w:color w:val="000000"/>
        </w:rPr>
        <w:t>LEI COMPLEMENTAR 195/2022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670390">
        <w:rPr>
          <w:rFonts w:ascii="Arial" w:hAnsi="Arial" w:cs="Arial"/>
          <w:b/>
          <w:bCs/>
          <w:color w:val="000000"/>
        </w:rPr>
        <w:t>(LEI PAULO GUSTAVO</w:t>
      </w:r>
      <w:r>
        <w:rPr>
          <w:rFonts w:ascii="Arial" w:hAnsi="Arial" w:cs="Arial"/>
          <w:b/>
          <w:bCs/>
          <w:color w:val="000000"/>
        </w:rPr>
        <w:t xml:space="preserve"> - LPG</w:t>
      </w:r>
      <w:r w:rsidRPr="00670390">
        <w:rPr>
          <w:rFonts w:ascii="Arial" w:hAnsi="Arial" w:cs="Arial"/>
          <w:b/>
          <w:bCs/>
          <w:color w:val="000000"/>
        </w:rPr>
        <w:t>)</w:t>
      </w:r>
    </w:p>
    <w:p w14:paraId="07BE53EA" w14:textId="77777777" w:rsidR="00F65457" w:rsidRPr="00F65457" w:rsidRDefault="00F65457" w:rsidP="00F65457">
      <w:pPr>
        <w:pStyle w:val="NormalWeb"/>
        <w:spacing w:before="120" w:beforeAutospacing="0" w:after="120" w:afterAutospacing="0"/>
        <w:ind w:left="120" w:right="120"/>
        <w:jc w:val="center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2BA5E438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comissão de seleção atribuirá notas a cada um dos critérios de avaliação de cada projeto, conforme tabela a seguir: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0"/>
        <w:gridCol w:w="4595"/>
        <w:gridCol w:w="1293"/>
      </w:tblGrid>
      <w:tr w:rsidR="00F65457" w:rsidRPr="00F65457" w14:paraId="723CFA29" w14:textId="77777777" w:rsidTr="00F65457">
        <w:trPr>
          <w:trHeight w:val="540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6310943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CRITÉRIOS GERAIS</w:t>
            </w:r>
          </w:p>
        </w:tc>
      </w:tr>
      <w:tr w:rsidR="00F65457" w:rsidRPr="00F65457" w14:paraId="72BE260B" w14:textId="77777777" w:rsidTr="00F65457">
        <w:trPr>
          <w:trHeight w:val="81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5DC89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Identificação do Critério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FA49B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Descrição do Critério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EAB21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Máxima</w:t>
            </w:r>
          </w:p>
        </w:tc>
      </w:tr>
      <w:tr w:rsidR="00F65457" w:rsidRPr="00F65457" w14:paraId="09DF3DF6" w14:textId="77777777" w:rsidTr="00F65457">
        <w:trPr>
          <w:trHeight w:val="1095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3C6609C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 </w:t>
            </w:r>
          </w:p>
          <w:p w14:paraId="6C74EC0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(Objetivos específicos do Projeto)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0B571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A1 - Viés social 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368DA0A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A2 - Viés ambiental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72599A2F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A3 - Viés turístico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  <w:p w14:paraId="727CE3A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A4 - Viés Patrimonial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(10)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364AC5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</w:tr>
      <w:tr w:rsidR="00F65457" w:rsidRPr="00F65457" w14:paraId="4F699C55" w14:textId="77777777" w:rsidTr="00F65457">
        <w:trPr>
          <w:trHeight w:val="133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58CA6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</w:t>
            </w:r>
          </w:p>
          <w:p w14:paraId="6D59A88F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Relevância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proposta para o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cenário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cultural de Formiga/MG)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A4594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considerar, para fins 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valoração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se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contribui para o enriquecimento 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valorização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da cultura de Formiga/MG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02D9C7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7A3EE720" w14:textId="77777777" w:rsidTr="00F65457">
        <w:trPr>
          <w:trHeight w:val="233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9F383B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</w:t>
            </w:r>
          </w:p>
          <w:p w14:paraId="743CF09E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da planilha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e do cronograma de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às</w:t>
            </w:r>
            <w:proofErr w:type="spellEnd"/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metas do projeto proposto)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E7DEA6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avaliar e valorar a viabilidade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técnica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 sob o ponto de vista dos gastos previstos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, sua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execução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adequação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ao objeto, metas e objetivos previstos.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Também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ser considerada para fins de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coerência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e conformidade dos valores e quantidades dos itens relacionados na planilha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orçamentária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do projeto.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556CE2" w14:textId="77777777" w:rsidR="00F65457" w:rsidRPr="00F65457" w:rsidRDefault="00F65457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F65457" w:rsidRPr="00F65457" w14:paraId="6A946651" w14:textId="77777777" w:rsidTr="00D23466">
        <w:trPr>
          <w:trHeight w:val="10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9559" w14:textId="428148A1" w:rsidR="00F65457" w:rsidRPr="00D23466" w:rsidRDefault="0037220E" w:rsidP="0037220E">
            <w:pPr>
              <w:pStyle w:val="NormalWeb"/>
              <w:tabs>
                <w:tab w:val="left" w:pos="532"/>
              </w:tabs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23466">
              <w:rPr>
                <w:rFonts w:ascii="Arial" w:hAnsi="Arial" w:cs="Arial"/>
                <w:b/>
                <w:sz w:val="20"/>
                <w:szCs w:val="20"/>
              </w:rPr>
              <w:t>D</w:t>
            </w:r>
          </w:p>
          <w:p w14:paraId="582146DE" w14:textId="2C527423" w:rsidR="0037220E" w:rsidRPr="00F65457" w:rsidRDefault="0037220E" w:rsidP="0037220E">
            <w:pPr>
              <w:pStyle w:val="NormalWeb"/>
              <w:tabs>
                <w:tab w:val="left" w:pos="532"/>
              </w:tabs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23466">
              <w:rPr>
                <w:rFonts w:ascii="Arial" w:hAnsi="Arial" w:cs="Arial"/>
                <w:b/>
                <w:sz w:val="20"/>
                <w:szCs w:val="20"/>
              </w:rPr>
              <w:t>(Mostra de vídeos)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9482" w14:textId="3997FB39" w:rsidR="00F65457" w:rsidRPr="00F65457" w:rsidRDefault="00D23466" w:rsidP="00D2346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análise deverá considerar a relevância dos vídeos que farão parte da mostra, sua(s) temática(s) e o público alvo.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55FB3E" w14:textId="236D30AA" w:rsidR="00F65457" w:rsidRPr="00F65457" w:rsidRDefault="00D23466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  <w:r w:rsidR="00F65457" w:rsidRPr="00F65457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</w:tr>
      <w:tr w:rsidR="0037220E" w:rsidRPr="00F65457" w14:paraId="164D7927" w14:textId="77777777" w:rsidTr="00E020BE">
        <w:trPr>
          <w:trHeight w:val="1788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C9B64" w14:textId="7D503F1B" w:rsidR="0037220E" w:rsidRPr="00F65457" w:rsidRDefault="00D23466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E</w:t>
            </w:r>
          </w:p>
          <w:p w14:paraId="44198160" w14:textId="12123521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(Compatibilidade dos colaboradores, especialmente, os oficineiros, 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com as atividades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propostas</w:t>
            </w: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51692" w14:textId="5F8CF8BF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análise</w:t>
            </w:r>
            <w:proofErr w:type="spellEnd"/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deverá considerar a carreira dos profissionais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indicados para ministrarem as oficinas, verificando sua relação com o tema da oficina (para esta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avaliação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deverão ser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considera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dos os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currículos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dos colaboradores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F9896" w14:textId="2EF09C30" w:rsidR="0037220E" w:rsidRPr="00F65457" w:rsidRDefault="00D23466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7220E" w:rsidRPr="00F65457" w14:paraId="492B8D6E" w14:textId="77777777" w:rsidTr="00F65457">
        <w:trPr>
          <w:trHeight w:val="767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2627BC" w14:textId="1BFE12AB" w:rsidR="0037220E" w:rsidRPr="00F65457" w:rsidRDefault="00D23466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</w:t>
            </w:r>
          </w:p>
          <w:p w14:paraId="04CF503C" w14:textId="77777777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(Contrapartida)</w:t>
            </w:r>
          </w:p>
        </w:tc>
        <w:tc>
          <w:tcPr>
            <w:tcW w:w="4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45C7B8" w14:textId="76DC97B4" w:rsidR="0037220E" w:rsidRPr="00F65457" w:rsidRDefault="0037220E" w:rsidP="00E020B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 xml:space="preserve">Será </w:t>
            </w:r>
            <w:r w:rsidR="00E020BE">
              <w:rPr>
                <w:rFonts w:ascii="Arial" w:hAnsi="Arial" w:cs="Arial"/>
                <w:color w:val="000000"/>
                <w:sz w:val="20"/>
                <w:szCs w:val="20"/>
              </w:rPr>
              <w:t xml:space="preserve">avaliado o interesse público </w:t>
            </w: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das atividades de contrapartida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0BA0FB" w14:textId="77777777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37220E" w:rsidRPr="00F65457" w14:paraId="6DCDC4C3" w14:textId="77777777" w:rsidTr="00F65457">
        <w:trPr>
          <w:trHeight w:val="540"/>
        </w:trPr>
        <w:tc>
          <w:tcPr>
            <w:tcW w:w="71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6DDA368" w14:textId="77777777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PONTUAÇÃO TOTAL:</w:t>
            </w:r>
          </w:p>
        </w:tc>
        <w:tc>
          <w:tcPr>
            <w:tcW w:w="1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29C95" w14:textId="77777777" w:rsidR="0037220E" w:rsidRPr="00F65457" w:rsidRDefault="0037220E" w:rsidP="0037220E">
            <w:pPr>
              <w:pStyle w:val="NormalWeb"/>
              <w:spacing w:before="120" w:beforeAutospacing="0" w:after="120" w:afterAutospacing="0"/>
              <w:ind w:left="120" w:right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6545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14:paraId="544114F3" w14:textId="77777777" w:rsidR="00F65457" w:rsidRPr="00F65457" w:rsidRDefault="00F65457" w:rsidP="00F65457">
      <w:pPr>
        <w:pStyle w:val="NormalWeb"/>
        <w:spacing w:before="240" w:beforeAutospacing="0" w:after="0" w:afterAutospacing="0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 </w:t>
      </w:r>
    </w:p>
    <w:p w14:paraId="60412478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pontuação final de cada candidatura será a somatória dos pontos atribuídos pelos três integrantes da Comissão de Avaliação.</w:t>
      </w:r>
    </w:p>
    <w:p w14:paraId="0E206E4B" w14:textId="714D557D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Os critérios gerais (A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</w:t>
      </w:r>
      <w:r w:rsidR="00E020BE">
        <w:rPr>
          <w:rFonts w:ascii="Arial" w:hAnsi="Arial" w:cs="Arial"/>
          <w:color w:val="000000"/>
          <w:sz w:val="22"/>
          <w:szCs w:val="22"/>
        </w:rPr>
        <w:t>F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) são eliminatórios, de modo que, o agente cultural que receber pontuação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algum dos critérios será desclassificado do Edital.</w:t>
      </w:r>
    </w:p>
    <w:p w14:paraId="3ADE6487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Os bônus de pontuação são cumulativos e não constituem critérios obrigatórios, de modo que a pontuação 0 em algum dos pontos bônus não desclassifica o proponente.</w:t>
      </w:r>
    </w:p>
    <w:p w14:paraId="0720A97A" w14:textId="3ED58FE0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color w:val="000000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Em caso de empate,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utilizados para fins de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classificação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dos projetos a maior nota nos critérios de acordo com a ordem abaixo definida: A, B, C, D, E, </w:t>
      </w:r>
      <w:r w:rsidR="00E020BE">
        <w:rPr>
          <w:rFonts w:ascii="Arial" w:hAnsi="Arial" w:cs="Arial"/>
          <w:color w:val="000000"/>
          <w:sz w:val="22"/>
          <w:szCs w:val="22"/>
        </w:rPr>
        <w:t xml:space="preserve">F, </w:t>
      </w:r>
      <w:r w:rsidRPr="00F65457">
        <w:rPr>
          <w:rFonts w:ascii="Arial" w:hAnsi="Arial" w:cs="Arial"/>
          <w:color w:val="000000"/>
          <w:sz w:val="22"/>
          <w:szCs w:val="22"/>
        </w:rPr>
        <w:t>respectivamente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6901613A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Caso nenhum dos </w:t>
      </w: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critérios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acima elencados seja capaz de promover o desempate será adotado o sorteio.</w:t>
      </w:r>
    </w:p>
    <w:p w14:paraId="453A08FD" w14:textId="77777777" w:rsid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proofErr w:type="spellStart"/>
      <w:r w:rsidRPr="00F65457">
        <w:rPr>
          <w:rFonts w:ascii="Arial" w:hAnsi="Arial" w:cs="Arial"/>
          <w:color w:val="000000"/>
          <w:sz w:val="22"/>
          <w:szCs w:val="22"/>
        </w:rPr>
        <w:t>Serão</w:t>
      </w:r>
      <w:proofErr w:type="spellEnd"/>
      <w:r w:rsidRPr="00F65457">
        <w:rPr>
          <w:rFonts w:ascii="Arial" w:hAnsi="Arial" w:cs="Arial"/>
          <w:color w:val="000000"/>
          <w:sz w:val="22"/>
          <w:szCs w:val="22"/>
        </w:rPr>
        <w:t xml:space="preserve"> considerados aptos os projetos que receberem nota final igual ou superior a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50 pontos</w:t>
      </w:r>
      <w:r w:rsidRPr="00F65457">
        <w:rPr>
          <w:rFonts w:ascii="Arial" w:hAnsi="Arial" w:cs="Arial"/>
          <w:color w:val="000000"/>
          <w:sz w:val="22"/>
          <w:szCs w:val="22"/>
        </w:rPr>
        <w:t>.</w:t>
      </w:r>
    </w:p>
    <w:p w14:paraId="1F4A1FCD" w14:textId="5E77B141" w:rsidR="00F65457" w:rsidRPr="00F65457" w:rsidRDefault="00F65457" w:rsidP="00F65457">
      <w:pPr>
        <w:pStyle w:val="NormalWeb"/>
        <w:spacing w:before="120" w:beforeAutospacing="0" w:after="120" w:afterAutospacing="0"/>
        <w:ind w:right="120" w:firstLine="708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Serão desclassificados os projetos que:</w:t>
      </w:r>
    </w:p>
    <w:p w14:paraId="79B2BB15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 - receberam </w:t>
      </w:r>
      <w:r w:rsidRPr="00F65457">
        <w:rPr>
          <w:rFonts w:ascii="Arial" w:hAnsi="Arial" w:cs="Arial"/>
          <w:b/>
          <w:bCs/>
          <w:color w:val="000000"/>
          <w:sz w:val="22"/>
          <w:szCs w:val="22"/>
        </w:rPr>
        <w:t>nota 0</w:t>
      </w:r>
      <w:r w:rsidRPr="00F65457">
        <w:rPr>
          <w:rFonts w:ascii="Arial" w:hAnsi="Arial" w:cs="Arial"/>
          <w:color w:val="000000"/>
          <w:sz w:val="22"/>
          <w:szCs w:val="22"/>
        </w:rPr>
        <w:t xml:space="preserve"> em qualquer dos critérios obrigatórios; </w:t>
      </w:r>
    </w:p>
    <w:p w14:paraId="58C01CFF" w14:textId="77777777" w:rsidR="00F65457" w:rsidRPr="00F65457" w:rsidRDefault="00F65457" w:rsidP="00F65457">
      <w:pPr>
        <w:pStyle w:val="NormalWeb"/>
        <w:spacing w:before="120" w:beforeAutospacing="0" w:after="120" w:afterAutospacing="0"/>
        <w:ind w:right="120"/>
        <w:jc w:val="both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 xml:space="preserve">II - apresentem quaisquer formas de preconceito de origem, raça, etnia, gênero, cor, idade ou outras formas de discriminação serão desclassificadas, com fundamento no disposto no </w:t>
      </w:r>
      <w:hyperlink r:id="rId7" w:anchor="art3iv" w:history="1">
        <w:r w:rsidRPr="00F65457">
          <w:rPr>
            <w:rStyle w:val="Hyperlink"/>
            <w:rFonts w:ascii="Arial" w:hAnsi="Arial" w:cs="Arial"/>
            <w:color w:val="000000"/>
            <w:sz w:val="22"/>
            <w:szCs w:val="22"/>
          </w:rPr>
          <w:t>inciso IV do caput do art. 3º da Constituição,</w:t>
        </w:r>
      </w:hyperlink>
      <w:r w:rsidRPr="00F65457">
        <w:rPr>
          <w:rFonts w:ascii="Arial" w:hAnsi="Arial" w:cs="Arial"/>
          <w:color w:val="000000"/>
          <w:sz w:val="22"/>
          <w:szCs w:val="22"/>
        </w:rPr>
        <w:t xml:space="preserve"> garantidos o contraditório e a ampla defesa.</w:t>
      </w:r>
    </w:p>
    <w:p w14:paraId="5D2552F4" w14:textId="77777777" w:rsidR="00F65457" w:rsidRPr="00F65457" w:rsidRDefault="00F65457" w:rsidP="00F65457">
      <w:pPr>
        <w:pStyle w:val="NormalWeb"/>
        <w:spacing w:before="0" w:beforeAutospacing="0" w:after="0" w:afterAutospacing="0"/>
        <w:ind w:firstLine="708"/>
        <w:rPr>
          <w:rFonts w:ascii="Arial" w:hAnsi="Arial" w:cs="Arial"/>
          <w:sz w:val="22"/>
          <w:szCs w:val="22"/>
        </w:rPr>
      </w:pPr>
      <w:r w:rsidRPr="00F65457">
        <w:rPr>
          <w:rFonts w:ascii="Arial" w:hAnsi="Arial" w:cs="Arial"/>
          <w:color w:val="000000"/>
          <w:sz w:val="22"/>
          <w:szCs w:val="22"/>
        </w:rPr>
        <w:t>A falsidade de informações acarretará desclassificação, podendo ensejar, ainda, a aplicação de sanções.</w:t>
      </w:r>
    </w:p>
    <w:p w14:paraId="4A0B55E7" w14:textId="6806EFE6" w:rsidR="008B5A30" w:rsidRPr="00F65457" w:rsidRDefault="008B5A30" w:rsidP="00F65457">
      <w:pPr>
        <w:rPr>
          <w:rFonts w:ascii="Arial" w:hAnsi="Arial" w:cs="Arial"/>
        </w:rPr>
      </w:pPr>
    </w:p>
    <w:sectPr w:rsidR="008B5A30" w:rsidRPr="00F6545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09D022" w14:textId="77777777" w:rsidR="00E3578B" w:rsidRDefault="00E3578B" w:rsidP="0032174C">
      <w:pPr>
        <w:spacing w:after="0" w:line="240" w:lineRule="auto"/>
      </w:pPr>
      <w:r>
        <w:separator/>
      </w:r>
    </w:p>
  </w:endnote>
  <w:endnote w:type="continuationSeparator" w:id="0">
    <w:p w14:paraId="4D417013" w14:textId="77777777" w:rsidR="00E3578B" w:rsidRDefault="00E3578B" w:rsidP="003217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62C32" w14:textId="77777777" w:rsidR="00E3578B" w:rsidRDefault="00E3578B" w:rsidP="0032174C">
      <w:pPr>
        <w:spacing w:after="0" w:line="240" w:lineRule="auto"/>
      </w:pPr>
      <w:r>
        <w:separator/>
      </w:r>
    </w:p>
  </w:footnote>
  <w:footnote w:type="continuationSeparator" w:id="0">
    <w:p w14:paraId="16EE369B" w14:textId="77777777" w:rsidR="00E3578B" w:rsidRDefault="00E3578B" w:rsidP="003217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F7A50" w14:textId="77777777" w:rsidR="0032174C" w:rsidRDefault="0032174C" w:rsidP="0032174C">
    <w:pP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noProof/>
        <w:sz w:val="24"/>
        <w:szCs w:val="24"/>
        <w:lang w:eastAsia="pt-BR"/>
      </w:rPr>
      <w:drawing>
        <wp:inline distT="0" distB="0" distL="0" distR="0" wp14:anchorId="046AA73A" wp14:editId="0A9E1060">
          <wp:extent cx="2536466" cy="949274"/>
          <wp:effectExtent l="0" t="0" r="0" b="381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EFEITURA 202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490" cy="9526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D43ABD" w14:textId="77777777" w:rsidR="0032174C" w:rsidRDefault="0032174C" w:rsidP="0032174C">
    <w:pPr>
      <w:pBdr>
        <w:bottom w:val="single" w:sz="12" w:space="1" w:color="auto"/>
      </w:pBdr>
      <w:spacing w:after="0" w:line="276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Secretaria Municipal de Cultura</w:t>
    </w:r>
  </w:p>
  <w:p w14:paraId="5C8ADB6C" w14:textId="15DE18D0" w:rsidR="0032174C" w:rsidRDefault="0032174C" w:rsidP="0032174C">
    <w:pPr>
      <w:pStyle w:val="Cabealho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0A0AB6"/>
    <w:multiLevelType w:val="multilevel"/>
    <w:tmpl w:val="153AC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A30"/>
    <w:rsid w:val="0010317B"/>
    <w:rsid w:val="00104DFA"/>
    <w:rsid w:val="00173B8A"/>
    <w:rsid w:val="0032174C"/>
    <w:rsid w:val="00330532"/>
    <w:rsid w:val="0037220E"/>
    <w:rsid w:val="00427431"/>
    <w:rsid w:val="0057155F"/>
    <w:rsid w:val="00581976"/>
    <w:rsid w:val="00690C7D"/>
    <w:rsid w:val="0073580F"/>
    <w:rsid w:val="007515D1"/>
    <w:rsid w:val="007B3FDB"/>
    <w:rsid w:val="008B5A30"/>
    <w:rsid w:val="00933359"/>
    <w:rsid w:val="00BE2B83"/>
    <w:rsid w:val="00D23466"/>
    <w:rsid w:val="00D83B30"/>
    <w:rsid w:val="00E020BE"/>
    <w:rsid w:val="00E3578B"/>
    <w:rsid w:val="00F6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C0CE3"/>
  <w15:chartTrackingRefBased/>
  <w15:docId w15:val="{E95AB747-273B-4D7E-832C-F1A2ED85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8B5A30"/>
    <w:rPr>
      <w:b/>
      <w:bCs/>
    </w:rPr>
  </w:style>
  <w:style w:type="paragraph" w:styleId="NormalWeb">
    <w:name w:val="Normal (Web)"/>
    <w:basedOn w:val="Normal"/>
    <w:uiPriority w:val="99"/>
    <w:unhideWhenUsed/>
    <w:rsid w:val="008B5A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semiHidden/>
    <w:unhideWhenUsed/>
    <w:rsid w:val="008B5A3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174C"/>
  </w:style>
  <w:style w:type="paragraph" w:styleId="Rodap">
    <w:name w:val="footer"/>
    <w:basedOn w:val="Normal"/>
    <w:link w:val="RodapChar"/>
    <w:uiPriority w:val="99"/>
    <w:unhideWhenUsed/>
    <w:rsid w:val="003217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1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514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9</cp:revision>
  <dcterms:created xsi:type="dcterms:W3CDTF">2023-07-17T12:18:00Z</dcterms:created>
  <dcterms:modified xsi:type="dcterms:W3CDTF">2023-08-29T19:43:00Z</dcterms:modified>
</cp:coreProperties>
</file>